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BE9" w:rsidRPr="00DA5E2D" w:rsidRDefault="00357BE9" w:rsidP="00357BE9">
      <w:pPr>
        <w:pStyle w:val="Header"/>
        <w:pBdr>
          <w:bottom w:val="thickThinSmallGap" w:sz="24" w:space="0" w:color="004D6C"/>
        </w:pBdr>
        <w:rPr>
          <w:rFonts w:ascii="Cambria" w:eastAsia="Times New Roman" w:hAnsi="Cambria" w:cs="Times New Roman"/>
          <w:color w:val="546421"/>
          <w:sz w:val="22"/>
          <w:szCs w:val="32"/>
        </w:rPr>
      </w:pPr>
      <w:bookmarkStart w:id="0" w:name="_GoBack"/>
      <w:bookmarkEnd w:id="0"/>
      <w:r w:rsidRPr="00DA5E2D">
        <w:rPr>
          <w:rFonts w:ascii="Cambria" w:eastAsia="Times New Roman" w:hAnsi="Cambria" w:cs="Times New Roman"/>
          <w:noProof/>
          <w:color w:val="546421"/>
          <w:sz w:val="22"/>
          <w:szCs w:val="32"/>
        </w:rPr>
        <w:drawing>
          <wp:inline distT="0" distB="0" distL="0" distR="0">
            <wp:extent cx="1521579" cy="692282"/>
            <wp:effectExtent l="0" t="0" r="2540" b="0"/>
            <wp:docPr id="1" name="Picture 1" descr="LOGO GREEN TE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REEN TECH"/>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3364" cy="697644"/>
                    </a:xfrm>
                    <a:prstGeom prst="rect">
                      <a:avLst/>
                    </a:prstGeom>
                    <a:noFill/>
                    <a:ln>
                      <a:noFill/>
                    </a:ln>
                  </pic:spPr>
                </pic:pic>
              </a:graphicData>
            </a:graphic>
          </wp:inline>
        </w:drawing>
      </w:r>
    </w:p>
    <w:p w:rsidR="00357BE9" w:rsidRPr="00DA5E2D" w:rsidRDefault="00357BE9" w:rsidP="00357BE9">
      <w:pPr>
        <w:pStyle w:val="Header"/>
        <w:pBdr>
          <w:bottom w:val="thickThinSmallGap" w:sz="24" w:space="0" w:color="004D6C"/>
        </w:pBdr>
        <w:rPr>
          <w:rFonts w:ascii="Cambria" w:eastAsia="Times New Roman" w:hAnsi="Cambria" w:cs="Times New Roman"/>
          <w:color w:val="546421"/>
          <w:sz w:val="22"/>
        </w:rPr>
      </w:pPr>
      <w:r w:rsidRPr="00DA5E2D">
        <w:rPr>
          <w:rFonts w:ascii="Cambria" w:eastAsia="Times New Roman" w:hAnsi="Cambria" w:cs="Times New Roman"/>
          <w:color w:val="546421"/>
          <w:sz w:val="22"/>
        </w:rPr>
        <w:t>GREEN TECHNICAL EDUCATION AND EMPLOYMENT</w:t>
      </w:r>
    </w:p>
    <w:p w:rsidR="00357BE9" w:rsidRPr="00DA5E2D" w:rsidRDefault="00357BE9" w:rsidP="00357BE9">
      <w:pPr>
        <w:pStyle w:val="Header"/>
        <w:pBdr>
          <w:bottom w:val="thickThinSmallGap" w:sz="24" w:space="0" w:color="004D6C"/>
        </w:pBdr>
        <w:contextualSpacing/>
        <w:rPr>
          <w:rFonts w:ascii="Cambria" w:eastAsia="Times New Roman" w:hAnsi="Cambria" w:cs="Times New Roman"/>
          <w:color w:val="546421"/>
          <w:sz w:val="22"/>
        </w:rPr>
      </w:pPr>
    </w:p>
    <w:p w:rsidR="00357BE9" w:rsidRPr="00DA5E2D" w:rsidRDefault="00357BE9" w:rsidP="00357BE9">
      <w:pPr>
        <w:pStyle w:val="Header"/>
        <w:pBdr>
          <w:bottom w:val="thickThinSmallGap" w:sz="24" w:space="0" w:color="004D6C"/>
        </w:pBdr>
        <w:contextualSpacing/>
        <w:rPr>
          <w:rFonts w:ascii="Cambria" w:eastAsia="Times New Roman" w:hAnsi="Cambria" w:cs="Times New Roman"/>
          <w:color w:val="546421"/>
          <w:sz w:val="22"/>
          <w:szCs w:val="18"/>
        </w:rPr>
      </w:pPr>
      <w:r w:rsidRPr="00DA5E2D">
        <w:rPr>
          <w:rFonts w:ascii="Cambria" w:eastAsia="Times New Roman" w:hAnsi="Cambria" w:cs="Times New Roman"/>
          <w:color w:val="546421"/>
          <w:sz w:val="22"/>
          <w:szCs w:val="18"/>
        </w:rPr>
        <w:t>Green Tech –</w:t>
      </w:r>
      <w:r w:rsidRPr="00DA5E2D">
        <w:rPr>
          <w:sz w:val="22"/>
        </w:rPr>
        <w:t xml:space="preserve"> </w:t>
      </w:r>
      <w:r>
        <w:rPr>
          <w:rFonts w:ascii="Cambria" w:eastAsia="Times New Roman" w:hAnsi="Cambria" w:cs="Times New Roman"/>
          <w:color w:val="546421"/>
          <w:sz w:val="22"/>
          <w:szCs w:val="18"/>
        </w:rPr>
        <w:t xml:space="preserve">1026 Florin Rd., </w:t>
      </w:r>
      <w:r w:rsidRPr="00DA5E2D">
        <w:rPr>
          <w:rFonts w:ascii="Cambria" w:eastAsia="Times New Roman" w:hAnsi="Cambria" w:cs="Times New Roman"/>
          <w:color w:val="546421"/>
          <w:sz w:val="22"/>
          <w:szCs w:val="18"/>
        </w:rPr>
        <w:t xml:space="preserve">152, Sacramento, CA 95831 – </w:t>
      </w:r>
      <w:hyperlink r:id="rId9" w:history="1">
        <w:r w:rsidRPr="00DA5E2D">
          <w:rPr>
            <w:rStyle w:val="Hyperlink"/>
            <w:rFonts w:ascii="Cambria" w:eastAsia="Times New Roman" w:hAnsi="Cambria" w:cs="Times New Roman"/>
            <w:sz w:val="22"/>
            <w:szCs w:val="18"/>
          </w:rPr>
          <w:t>www.greentechedu.org</w:t>
        </w:r>
      </w:hyperlink>
      <w:r>
        <w:rPr>
          <w:rFonts w:ascii="Cambria" w:eastAsia="Times New Roman" w:hAnsi="Cambria" w:cs="Times New Roman"/>
          <w:color w:val="546421"/>
          <w:sz w:val="22"/>
          <w:szCs w:val="18"/>
        </w:rPr>
        <w:t xml:space="preserve"> – (916) 224-1024</w:t>
      </w:r>
    </w:p>
    <w:p w:rsidR="00357BE9" w:rsidRDefault="00357BE9" w:rsidP="00357BE9">
      <w:r>
        <w:tab/>
      </w:r>
      <w:r>
        <w:tab/>
      </w:r>
    </w:p>
    <w:p w:rsidR="00BE6D42" w:rsidRDefault="00D957EF" w:rsidP="00D957EF">
      <w:pPr>
        <w:pStyle w:val="ListParagraph"/>
        <w:ind w:hanging="720"/>
      </w:pPr>
      <w:r w:rsidRPr="00357BE9">
        <w:rPr>
          <w:b/>
        </w:rPr>
        <w:t>Date:</w:t>
      </w:r>
      <w:r>
        <w:tab/>
        <w:t>March 5, 2018</w:t>
      </w:r>
    </w:p>
    <w:p w:rsidR="00D957EF" w:rsidRDefault="00D957EF" w:rsidP="00D957EF">
      <w:pPr>
        <w:pStyle w:val="ListParagraph"/>
        <w:ind w:hanging="720"/>
      </w:pPr>
    </w:p>
    <w:p w:rsidR="00D957EF" w:rsidRDefault="00D957EF" w:rsidP="00D957EF">
      <w:pPr>
        <w:pStyle w:val="ListParagraph"/>
        <w:ind w:hanging="720"/>
      </w:pPr>
      <w:r w:rsidRPr="00357BE9">
        <w:rPr>
          <w:b/>
        </w:rPr>
        <w:t>To:</w:t>
      </w:r>
      <w:r>
        <w:tab/>
        <w:t xml:space="preserve">Jean Lamming, California Public Utilities Commission </w:t>
      </w:r>
    </w:p>
    <w:p w:rsidR="00D957EF" w:rsidRDefault="00D957EF" w:rsidP="00D957EF">
      <w:pPr>
        <w:pStyle w:val="ListParagraph"/>
        <w:ind w:hanging="720"/>
      </w:pPr>
    </w:p>
    <w:p w:rsidR="00D957EF" w:rsidRDefault="00D957EF" w:rsidP="00D957EF">
      <w:pPr>
        <w:pStyle w:val="ListParagraph"/>
        <w:ind w:hanging="720"/>
      </w:pPr>
      <w:r w:rsidRPr="00357BE9">
        <w:rPr>
          <w:b/>
        </w:rPr>
        <w:t>From:</w:t>
      </w:r>
      <w:r>
        <w:tab/>
        <w:t>Simeon Gant, Executive Director, Green Technical Education and Training</w:t>
      </w:r>
    </w:p>
    <w:p w:rsidR="00D957EF" w:rsidRDefault="00D957EF" w:rsidP="00D957EF">
      <w:pPr>
        <w:pStyle w:val="ListParagraph"/>
        <w:ind w:hanging="720"/>
      </w:pPr>
      <w:r>
        <w:tab/>
        <w:t>Suzanne Fox, External Affairs Officer, Green Technical Education and Training</w:t>
      </w:r>
    </w:p>
    <w:p w:rsidR="00D957EF" w:rsidRDefault="00D957EF" w:rsidP="00D957EF">
      <w:pPr>
        <w:pStyle w:val="ListParagraph"/>
        <w:ind w:hanging="720"/>
      </w:pPr>
    </w:p>
    <w:p w:rsidR="00D957EF" w:rsidRDefault="00D957EF" w:rsidP="00D957EF">
      <w:pPr>
        <w:pStyle w:val="ListParagraph"/>
        <w:ind w:hanging="720"/>
      </w:pPr>
      <w:r w:rsidRPr="00357BE9">
        <w:rPr>
          <w:b/>
        </w:rPr>
        <w:t>Subj:</w:t>
      </w:r>
      <w:r>
        <w:tab/>
        <w:t xml:space="preserve">Response to Questions for the Demand Response Pilot for Disadvantaged Communities </w:t>
      </w:r>
    </w:p>
    <w:p w:rsidR="00D957EF" w:rsidRDefault="00D957EF" w:rsidP="00D957EF">
      <w:pPr>
        <w:pStyle w:val="ListParagraph"/>
        <w:pBdr>
          <w:bottom w:val="single" w:sz="12" w:space="1" w:color="auto"/>
        </w:pBdr>
        <w:ind w:hanging="720"/>
      </w:pPr>
    </w:p>
    <w:p w:rsidR="00D957EF" w:rsidRDefault="00D957EF" w:rsidP="00D957EF">
      <w:pPr>
        <w:pStyle w:val="ListParagraph"/>
        <w:ind w:hanging="720"/>
      </w:pPr>
    </w:p>
    <w:p w:rsidR="00D957EF" w:rsidRDefault="00D957EF" w:rsidP="00D957EF">
      <w:pPr>
        <w:pStyle w:val="ListParagraph"/>
        <w:ind w:left="0"/>
        <w:jc w:val="both"/>
      </w:pPr>
      <w:r>
        <w:t>Below is our suggestion for inclusion in any/all pilots for Disadvantaged Communities (DAC).  Green Technical Education and Training is a 501(c)(3) non-profit organization providing at-risk youth and youth from DACs with career technical education in the growing green economy through green STEM programmin</w:t>
      </w:r>
      <w:r w:rsidR="00353861">
        <w:t xml:space="preserve">g, agriculture, solar technology, energy auditing, </w:t>
      </w:r>
      <w:r>
        <w:t>weatherization</w:t>
      </w:r>
      <w:r w:rsidR="00353861">
        <w:t xml:space="preserve"> and pre-apprentice construction.</w:t>
      </w:r>
      <w:r>
        <w:t xml:space="preserve"> </w:t>
      </w:r>
      <w:r w:rsidR="00357BE9">
        <w:t>Please feel free to contact Simeon Gant at (916) 224-1042 or Suzanne Fox at (916) 284-9435.</w:t>
      </w:r>
    </w:p>
    <w:p w:rsidR="00D957EF" w:rsidRPr="002E398A" w:rsidRDefault="00D957EF" w:rsidP="00BE6D42">
      <w:pPr>
        <w:pStyle w:val="ListParagraph"/>
        <w:rPr>
          <w:b/>
          <w:u w:val="single"/>
        </w:rPr>
      </w:pPr>
    </w:p>
    <w:p w:rsidR="00BE6D42" w:rsidRPr="00357BE9" w:rsidRDefault="00BE6D42" w:rsidP="00357BE9">
      <w:pPr>
        <w:rPr>
          <w:b/>
        </w:rPr>
      </w:pPr>
      <w:r w:rsidRPr="00357BE9">
        <w:rPr>
          <w:b/>
          <w:u w:val="single"/>
        </w:rPr>
        <w:t>Low Income Energy Efficiency Pilots for CARE customers</w:t>
      </w:r>
      <w:r w:rsidRPr="00357BE9">
        <w:rPr>
          <w:b/>
        </w:rPr>
        <w:t>:</w:t>
      </w:r>
    </w:p>
    <w:p w:rsidR="00BE6D42" w:rsidRDefault="00BE6D42" w:rsidP="00357BE9">
      <w:pPr>
        <w:pStyle w:val="ListParagraph"/>
        <w:numPr>
          <w:ilvl w:val="0"/>
          <w:numId w:val="2"/>
        </w:numPr>
        <w:ind w:left="630" w:hanging="630"/>
      </w:pPr>
      <w:r>
        <w:t>How would you use the $750,000 budget from the low income energy efficiency proceeding (Decision 17-12-009) in the service of the demand response pilots for disadvantaged communities given these funds must benefit CARE</w:t>
      </w:r>
      <w:r>
        <w:rPr>
          <w:rStyle w:val="FootnoteReference"/>
        </w:rPr>
        <w:footnoteReference w:id="1"/>
      </w:r>
      <w:r>
        <w:t xml:space="preserve"> customers specifically? </w:t>
      </w:r>
    </w:p>
    <w:p w:rsidR="002E398A" w:rsidRDefault="002E398A" w:rsidP="002E398A">
      <w:pPr>
        <w:pStyle w:val="ListParagraph"/>
        <w:ind w:left="630"/>
      </w:pPr>
    </w:p>
    <w:p w:rsidR="002E398A" w:rsidRPr="002E398A" w:rsidRDefault="002E398A" w:rsidP="00357BE9">
      <w:pPr>
        <w:pStyle w:val="ListParagraph"/>
        <w:numPr>
          <w:ilvl w:val="0"/>
          <w:numId w:val="2"/>
        </w:numPr>
        <w:ind w:left="630" w:hanging="630"/>
        <w:rPr>
          <w:b/>
          <w:u w:val="single"/>
        </w:rPr>
      </w:pPr>
      <w:r w:rsidRPr="002E398A">
        <w:rPr>
          <w:b/>
          <w:u w:val="single"/>
        </w:rPr>
        <w:t>Green Tech Response</w:t>
      </w:r>
    </w:p>
    <w:p w:rsidR="002E398A" w:rsidRDefault="002E398A" w:rsidP="002E398A">
      <w:pPr>
        <w:pStyle w:val="ListParagraph"/>
        <w:ind w:left="630"/>
      </w:pPr>
    </w:p>
    <w:p w:rsidR="002E398A" w:rsidRDefault="002E398A" w:rsidP="002E398A">
      <w:pPr>
        <w:pStyle w:val="ListParagraph"/>
        <w:ind w:left="630"/>
      </w:pPr>
      <w:r>
        <w:t xml:space="preserve">DACs communities are impacted by energy inefficiencies and high fuel costs to heat their homes and power their appliances.  DACs are generally high rent areas with housing that is substandard and does not have energy efficiency heating systems or appliances.  Most often, these households are using aging wall heaters fueled by gas and their water heaters and kitchen appliances are also typically fueled with gas.  When pilot programs target DACs, there must be consideration given to the inner workings of the actual environments for which they reside; conducting DAC pilots targeting only residential units with energy will not help the families who reside in these communities as they are immediately not able to participate.  Additionally, these same DACs generally do not have </w:t>
      </w:r>
      <w:proofErr w:type="spellStart"/>
      <w:r>
        <w:t>wifi</w:t>
      </w:r>
      <w:proofErr w:type="spellEnd"/>
      <w:r>
        <w:t xml:space="preserve"> access in their homes, so to assume that a pilot program will install electric </w:t>
      </w:r>
      <w:proofErr w:type="spellStart"/>
      <w:r>
        <w:t>wifi</w:t>
      </w:r>
      <w:proofErr w:type="spellEnd"/>
      <w:r>
        <w:t xml:space="preserve">-powered meters to track electric energy use in DACs when (1) most are </w:t>
      </w:r>
      <w:r w:rsidR="00357BE9">
        <w:t>utilizing</w:t>
      </w:r>
      <w:r>
        <w:t xml:space="preserve"> gas appliances and (2) do not have access to </w:t>
      </w:r>
      <w:proofErr w:type="spellStart"/>
      <w:r>
        <w:t>wifi</w:t>
      </w:r>
      <w:proofErr w:type="spellEnd"/>
      <w:r>
        <w:t xml:space="preserve"> deeply skews the results and intent of the program.  </w:t>
      </w:r>
    </w:p>
    <w:p w:rsidR="002E398A" w:rsidRDefault="002E398A" w:rsidP="002E398A">
      <w:pPr>
        <w:pStyle w:val="ListParagraph"/>
        <w:ind w:left="630"/>
      </w:pPr>
    </w:p>
    <w:p w:rsidR="002E398A" w:rsidRDefault="00353861" w:rsidP="00357BE9">
      <w:pPr>
        <w:pStyle w:val="ListParagraph"/>
        <w:ind w:left="630"/>
        <w:jc w:val="both"/>
      </w:pPr>
      <w:r>
        <w:t>Additionally, it’s im</w:t>
      </w:r>
      <w:r w:rsidR="002E398A">
        <w:t xml:space="preserve">portant to include a training component in all pilots.  Workers need to be trained how to conduct energy audits.  It’s essential to provide this training to the residents of DACs to provide information, knowledge and the power to change the way energy fuels </w:t>
      </w:r>
      <w:r w:rsidR="00357BE9">
        <w:t xml:space="preserve">their homes in a cost effective </w:t>
      </w:r>
      <w:r w:rsidR="002E398A">
        <w:t>manner.  It is not enough to devise a program that targets DACs yet the vast majority of residential</w:t>
      </w:r>
      <w:r w:rsidR="00357BE9">
        <w:t xml:space="preserve"> </w:t>
      </w:r>
      <w:r w:rsidR="002E398A">
        <w:lastRenderedPageBreak/>
        <w:t xml:space="preserve">homes are not eligible to participate, therefore are ineligible to take advantage of the goal for lower energy costs.  Training residents of this community provides empowerment, the knowledge how to make decisions in a green economy that provides a real costs savings.  DACs communities are struggling to keep their heads above water, they likely will not read pamphlets included in their energy bills as they struggle to decide if they buy food, put gas </w:t>
      </w:r>
      <w:r>
        <w:t xml:space="preserve">in </w:t>
      </w:r>
      <w:r w:rsidR="002E398A">
        <w:t>their cars or what energy bill will be paid.  Energy audits include individuals going door to door informing residents about high efficiency appliances, how to lower their fuels costs by tweaking the way with which they utilize thei</w:t>
      </w:r>
      <w:r>
        <w:t xml:space="preserve">r energy appliances and when to </w:t>
      </w:r>
      <w:r w:rsidR="002E398A">
        <w:t xml:space="preserve">realize a costs savings to their monthly bills.  A pilot program absent training for those to conduct the energy audits is an oversight we cannot afford to miss.  </w:t>
      </w:r>
      <w:r w:rsidR="00357BE9">
        <w:t>It’s</w:t>
      </w:r>
      <w:r w:rsidR="002E398A">
        <w:t xml:space="preserve"> essential when devising a pilot program for energy efficiency that a training component is funded to provide </w:t>
      </w:r>
      <w:r w:rsidR="00357BE9">
        <w:t>capacity for the jobs needed to keep energy efficiency audits moving forward in the future for DACs.</w:t>
      </w:r>
    </w:p>
    <w:p w:rsidR="002E398A" w:rsidRDefault="002E398A" w:rsidP="002E398A">
      <w:pPr>
        <w:pStyle w:val="ListParagraph"/>
        <w:ind w:left="630"/>
      </w:pPr>
    </w:p>
    <w:p w:rsidR="00D91502" w:rsidRDefault="005B10F1"/>
    <w:sectPr w:rsidR="00D91502" w:rsidSect="00357BE9">
      <w:pgSz w:w="12240" w:h="15840"/>
      <w:pgMar w:top="720" w:right="1152" w:bottom="129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0F1" w:rsidRDefault="005B10F1" w:rsidP="00BE6D42">
      <w:pPr>
        <w:spacing w:after="0" w:line="240" w:lineRule="auto"/>
      </w:pPr>
      <w:r>
        <w:separator/>
      </w:r>
    </w:p>
  </w:endnote>
  <w:endnote w:type="continuationSeparator" w:id="0">
    <w:p w:rsidR="005B10F1" w:rsidRDefault="005B10F1" w:rsidP="00BE6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0F1" w:rsidRDefault="005B10F1" w:rsidP="00BE6D42">
      <w:pPr>
        <w:spacing w:after="0" w:line="240" w:lineRule="auto"/>
      </w:pPr>
      <w:r>
        <w:separator/>
      </w:r>
    </w:p>
  </w:footnote>
  <w:footnote w:type="continuationSeparator" w:id="0">
    <w:p w:rsidR="005B10F1" w:rsidRDefault="005B10F1" w:rsidP="00BE6D42">
      <w:pPr>
        <w:spacing w:after="0" w:line="240" w:lineRule="auto"/>
      </w:pPr>
      <w:r>
        <w:continuationSeparator/>
      </w:r>
    </w:p>
  </w:footnote>
  <w:footnote w:id="1">
    <w:p w:rsidR="00BE6D42" w:rsidRDefault="00BE6D42" w:rsidP="00BE6D42">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6278"/>
    <w:multiLevelType w:val="hybridMultilevel"/>
    <w:tmpl w:val="B98CE2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37E1D03"/>
    <w:multiLevelType w:val="hybridMultilevel"/>
    <w:tmpl w:val="68A02B6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D42"/>
    <w:rsid w:val="002E398A"/>
    <w:rsid w:val="00353861"/>
    <w:rsid w:val="00357BE9"/>
    <w:rsid w:val="004F26B2"/>
    <w:rsid w:val="005B10F1"/>
    <w:rsid w:val="005E5E8E"/>
    <w:rsid w:val="00881A3F"/>
    <w:rsid w:val="00885150"/>
    <w:rsid w:val="00BE6D42"/>
    <w:rsid w:val="00D13840"/>
    <w:rsid w:val="00D957EF"/>
    <w:rsid w:val="00E81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6D42"/>
    <w:pPr>
      <w:spacing w:after="0" w:line="240" w:lineRule="auto"/>
      <w:ind w:left="720"/>
      <w:contextualSpacing/>
    </w:pPr>
  </w:style>
  <w:style w:type="character" w:styleId="Hyperlink">
    <w:name w:val="Hyperlink"/>
    <w:basedOn w:val="DefaultParagraphFont"/>
    <w:uiPriority w:val="99"/>
    <w:unhideWhenUsed/>
    <w:rsid w:val="00BE6D42"/>
    <w:rPr>
      <w:color w:val="0000FF" w:themeColor="hyperlink"/>
      <w:u w:val="single"/>
    </w:rPr>
  </w:style>
  <w:style w:type="paragraph" w:styleId="FootnoteText">
    <w:name w:val="footnote text"/>
    <w:basedOn w:val="Normal"/>
    <w:link w:val="FootnoteTextChar"/>
    <w:uiPriority w:val="99"/>
    <w:semiHidden/>
    <w:unhideWhenUsed/>
    <w:rsid w:val="00BE6D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6D42"/>
    <w:rPr>
      <w:sz w:val="20"/>
      <w:szCs w:val="20"/>
    </w:rPr>
  </w:style>
  <w:style w:type="character" w:styleId="FootnoteReference">
    <w:name w:val="footnote reference"/>
    <w:basedOn w:val="DefaultParagraphFont"/>
    <w:uiPriority w:val="99"/>
    <w:semiHidden/>
    <w:unhideWhenUsed/>
    <w:rsid w:val="00BE6D42"/>
    <w:rPr>
      <w:vertAlign w:val="superscript"/>
    </w:rPr>
  </w:style>
  <w:style w:type="paragraph" w:styleId="Header">
    <w:name w:val="header"/>
    <w:basedOn w:val="Normal"/>
    <w:link w:val="HeaderChar"/>
    <w:uiPriority w:val="99"/>
    <w:unhideWhenUsed/>
    <w:rsid w:val="00357BE9"/>
    <w:pPr>
      <w:tabs>
        <w:tab w:val="center" w:pos="4680"/>
        <w:tab w:val="right" w:pos="9360"/>
      </w:tabs>
      <w:spacing w:after="0" w:line="240" w:lineRule="auto"/>
      <w:jc w:val="center"/>
    </w:pPr>
    <w:rPr>
      <w:rFonts w:ascii="Arial" w:eastAsia="Calibri" w:hAnsi="Arial" w:cs="Arial"/>
      <w:sz w:val="24"/>
      <w:szCs w:val="24"/>
    </w:rPr>
  </w:style>
  <w:style w:type="character" w:customStyle="1" w:styleId="HeaderChar">
    <w:name w:val="Header Char"/>
    <w:basedOn w:val="DefaultParagraphFont"/>
    <w:link w:val="Header"/>
    <w:uiPriority w:val="99"/>
    <w:rsid w:val="00357BE9"/>
    <w:rPr>
      <w:rFonts w:ascii="Arial" w:eastAsia="Calibri" w:hAnsi="Arial" w:cs="Arial"/>
      <w:sz w:val="24"/>
      <w:szCs w:val="24"/>
    </w:rPr>
  </w:style>
  <w:style w:type="paragraph" w:styleId="BalloonText">
    <w:name w:val="Balloon Text"/>
    <w:basedOn w:val="Normal"/>
    <w:link w:val="BalloonTextChar"/>
    <w:uiPriority w:val="99"/>
    <w:semiHidden/>
    <w:unhideWhenUsed/>
    <w:rsid w:val="00357B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7B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6D42"/>
    <w:pPr>
      <w:spacing w:after="0" w:line="240" w:lineRule="auto"/>
      <w:ind w:left="720"/>
      <w:contextualSpacing/>
    </w:pPr>
  </w:style>
  <w:style w:type="character" w:styleId="Hyperlink">
    <w:name w:val="Hyperlink"/>
    <w:basedOn w:val="DefaultParagraphFont"/>
    <w:uiPriority w:val="99"/>
    <w:unhideWhenUsed/>
    <w:rsid w:val="00BE6D42"/>
    <w:rPr>
      <w:color w:val="0000FF" w:themeColor="hyperlink"/>
      <w:u w:val="single"/>
    </w:rPr>
  </w:style>
  <w:style w:type="paragraph" w:styleId="FootnoteText">
    <w:name w:val="footnote text"/>
    <w:basedOn w:val="Normal"/>
    <w:link w:val="FootnoteTextChar"/>
    <w:uiPriority w:val="99"/>
    <w:semiHidden/>
    <w:unhideWhenUsed/>
    <w:rsid w:val="00BE6D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6D42"/>
    <w:rPr>
      <w:sz w:val="20"/>
      <w:szCs w:val="20"/>
    </w:rPr>
  </w:style>
  <w:style w:type="character" w:styleId="FootnoteReference">
    <w:name w:val="footnote reference"/>
    <w:basedOn w:val="DefaultParagraphFont"/>
    <w:uiPriority w:val="99"/>
    <w:semiHidden/>
    <w:unhideWhenUsed/>
    <w:rsid w:val="00BE6D42"/>
    <w:rPr>
      <w:vertAlign w:val="superscript"/>
    </w:rPr>
  </w:style>
  <w:style w:type="paragraph" w:styleId="Header">
    <w:name w:val="header"/>
    <w:basedOn w:val="Normal"/>
    <w:link w:val="HeaderChar"/>
    <w:uiPriority w:val="99"/>
    <w:unhideWhenUsed/>
    <w:rsid w:val="00357BE9"/>
    <w:pPr>
      <w:tabs>
        <w:tab w:val="center" w:pos="4680"/>
        <w:tab w:val="right" w:pos="9360"/>
      </w:tabs>
      <w:spacing w:after="0" w:line="240" w:lineRule="auto"/>
      <w:jc w:val="center"/>
    </w:pPr>
    <w:rPr>
      <w:rFonts w:ascii="Arial" w:eastAsia="Calibri" w:hAnsi="Arial" w:cs="Arial"/>
      <w:sz w:val="24"/>
      <w:szCs w:val="24"/>
    </w:rPr>
  </w:style>
  <w:style w:type="character" w:customStyle="1" w:styleId="HeaderChar">
    <w:name w:val="Header Char"/>
    <w:basedOn w:val="DefaultParagraphFont"/>
    <w:link w:val="Header"/>
    <w:uiPriority w:val="99"/>
    <w:rsid w:val="00357BE9"/>
    <w:rPr>
      <w:rFonts w:ascii="Arial" w:eastAsia="Calibri" w:hAnsi="Arial" w:cs="Arial"/>
      <w:sz w:val="24"/>
      <w:szCs w:val="24"/>
    </w:rPr>
  </w:style>
  <w:style w:type="paragraph" w:styleId="BalloonText">
    <w:name w:val="Balloon Text"/>
    <w:basedOn w:val="Normal"/>
    <w:link w:val="BalloonTextChar"/>
    <w:uiPriority w:val="99"/>
    <w:semiHidden/>
    <w:unhideWhenUsed/>
    <w:rsid w:val="00357B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7B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reentechedu.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Fox</dc:creator>
  <cp:lastModifiedBy>Lamming, Jean A.</cp:lastModifiedBy>
  <cp:revision>2</cp:revision>
  <dcterms:created xsi:type="dcterms:W3CDTF">2018-03-06T00:34:00Z</dcterms:created>
  <dcterms:modified xsi:type="dcterms:W3CDTF">2018-03-06T00:34:00Z</dcterms:modified>
</cp:coreProperties>
</file>